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384</w:t>
      </w:r>
    </w:p>
    <w:p>
      <w:r>
        <w:t>Bundesgericht (BGE), 2008-07-24, DE</w:t>
      </w:r>
    </w:p>
    <w:p>
      <w:r>
        <w:rPr>
          <w:b/>
        </w:rPr>
        <w:t xml:space="preserve">Quelle: </w:t>
      </w:r>
      <w:r>
        <w:t>https://mcp.opencaselaw.ch/entscheid/bge_134 V 384</w:t>
      </w:r>
    </w:p>
    <w:p>
      <w:r>
        <w:t>FR: ATF 134 V 384</w:t>
      </w:r>
    </w:p>
    <w:p>
      <w:r>
        <w:t>IT: DTF 134 V 384</w:t>
      </w:r>
    </w:p>
    <w:p>
      <w:pPr>
        <w:pStyle w:val="Heading2"/>
      </w:pPr>
      <w:r>
        <w:t>Regeste</w:t>
      </w:r>
    </w:p>
    <w:p>
      <w:r>
        <w:t>Regeste Art. 122, 124 und 141 f. ZGB; Art. 22, 22a, 22b und 25a FZG; Kompetenzaufteilung zwischen Scheidungsgericht und Berufsvorsorgegericht in Bezug auf den Vorsorgeausgleich im Scheidungsfall. Ordnet das Scheidungsgericht in Kenntnis des Eintritts eines Vorsorgefalles - in casu Invalidität - die (hälftige) Teilung der Austrittsleistung gestützt auf Art. 122 ZGB an, ist das zuständige Vorsorgegericht zum Vollzug verpflichtet, wenn das Scheidungsurteil in diesem Punkt in Rechtskraft erwachsen ist und die Voraussetzungen für die Übertragung eines Teils der Austrittsleistung auf Anrechnung an die angemessene Entschädigung nach Art. 22b FZG erfüllt sind (E. 1.3, 4.2 und 4.3).</w:t>
      </w:r>
    </w:p>
    <w:p>
      <w:pPr>
        <w:pStyle w:val="Heading2"/>
      </w:pPr>
      <w:r>
        <w:t>Erwägungen</w:t>
      </w:r>
    </w:p>
    <w:p>
      <w:r>
        <w:rPr>
          <w:b/>
        </w:rPr>
        <w:t>E. 1.1</w:t>
      </w:r>
    </w:p>
    <w:p>
      <w:r>
        <w:t>Gehört ein Ehegatte oder gehören beide Ehegatten einer Einrichtung der beruflichen Vorsorge an und ist bei keinem Ehegatten ein Vorsorgefall eingetreten, so hat jeder Ehegatte Anspruch auf die Hälfte der nach dem Freizügigkeitsgesetz vom 17. Dezember 1993 (FZG; SR 831.42) für die Ehedauer zu ermittelnden Austrittsleistung des anderen Ehegatten ( Art. 122 Abs. 1 ZGB sowie Art. 22 und 22a FZG ).</w:t>
      </w:r>
    </w:p>
    <w:p>
      <w:r>
        <w:rPr>
          <w:b/>
        </w:rPr>
        <w:t>E. 1.1.1</w:t>
      </w:r>
    </w:p>
    <w:p>
      <w:r>
        <w:t>Haben sich die Ehegatten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Berechnung der zu teilenden Austrittsleistungen massgebend sind, so wird die Vereinbarung mit der Genehmigung durch das Gericht auch für die Einrichtungen der beruflichen Vorsorge (welche im Scheidungsverfahren keine Parteistellung haben; BGE 128 V 41 E. 2c S. 47) verbindlich. Das Gericht eröffnet den Einrichtungen der beruflichen Vorsorge das rechtskräftige Urteil bezüglich der sie betreffenden Punkte unter Einschluss der nötigen Angaben für die Überweisung des vereinbarten Betrages ( Art. 141 Abs. 1 und 2 ZGB ). Art. 141 ZGB gilt ebenfalls, wenn der Vorsorgeausgleich im Rahmen von Art. 124 ZGB und Art. 22b FZG erfolgt (vgl. dazu E. 1.3; KATHARINA BAUMANN/MARGARETHA LAUTERBURG, in: Ingeborg Schwenzer [Hrsg.], FamKomm Scheidung, Bern 2005, S. 426 oben).</w:t>
      </w:r>
    </w:p>
    <w:p>
      <w:r>
        <w:rPr>
          <w:b/>
        </w:rPr>
        <w:t>E. 1.1.2</w:t>
      </w:r>
    </w:p>
    <w:p>
      <w:r>
        <w:t>Kommt keine Vereinbarung zustande (oder kann die Bestätigung der Einrichtung der beruflichen Vorsorge über die Durchführbarkeit der getroffenen Regelung nicht beigebracht werden; BGE 132 V 337 E. 1.1 S. 340), so entscheidet das Gericht über das Verhältnis, in welchem die Austrittsleistungen zu teilen sind. Sobald der Entscheid über das Teilungsverhältnis rechtskräftig ist, überweist das Gericht die Streitsache von Amtes wegen dem am Ort der Scheidung BGE 134 V 384 S. 387 nach Art. 73 Abs. 1 BVG (SR 831.40) zuständigen Gericht ( Art. 142 Abs. 1 und 2 ZGB sowie Art. 25a Abs. 1 FZG ). Das Berufsvorsorgegericht ist an den im Scheidungsurteil festgelegten Teilungsschlüssel gebunden und hat die Teilung bloss zu vollziehen ( BGE 132 III 401 E. 2.2 S. 404; BGE 132 V 337 E. 2.2 S. 341).</w:t>
      </w:r>
    </w:p>
    <w:p>
      <w:r>
        <w:rPr>
          <w:b/>
        </w:rPr>
        <w:t>E. 1.2</w:t>
      </w:r>
    </w:p>
    <w:p>
      <w:r>
        <w:t>Der Vorsorgefall "Invalidität" im Sinne von Art. 122 Abs. 1 ZGB (und Art. 124 Abs. 1 ZGB ) ist eingetreten, wenn ein Ehegatte - weiter gehende reglementarische Bestimmungen vorbehalten - mindestens zu 40 % dauernd erwerbsunfähig geworden ist oder während eines Jahres ohne wesentlichen Unterbruch mindestens zu 40 % arbeitsunfähig war und von der Einrichtung der beruflichen Vorsorge eine Invalidenrente bezieht oder in Form einer Kapitalabfindung bezogen hat ( Art. 23 und 26 BVG sowie Art. 29 IVG ). Für die Annahme eines Vorsorgefalles genügt somit blosse Teilinvalidität ( BGE 129 III 481 E. 3.2.2 S. 484 mit Hinweisen auf die Lehre; SVR 2007 BVG Nr. 42 S. 151, E. 4.2, B 107/06). Der massgebende Zeitpunkt für den Entscheid darüber, ob bei einem oder bei beiden Ehegatten ein Vorsorgefall eingetreten ist oder die Austrittsleistungen aus anderen Gründen nicht geteilt werden können, ist der Eintritt der Rechtskraft des Urteils über die Scheidung ( BGE 132 III 401 ; SVR 2007 BVG Nr. 42 S. 151, E. 4.2.1, B 107/06).</w:t>
      </w:r>
    </w:p>
    <w:p>
      <w:r>
        <w:rPr>
          <w:b/>
        </w:rPr>
        <w:t>E. 1.3</w:t>
      </w:r>
    </w:p>
    <w:p>
      <w:r>
        <w:t>Ist bei einem oder bei beiden Ehegatten ein Vorsorgefall (Alter oder Invalidität) bereits eingetreten oder können aus anderen Gründen Ansprüche aus der beruflichen Vorsorge, die während der Dauer der Ehe erworben worden sind, nicht geteilt werden, so ist eine angemessene Entschädigung geschuldet ( Art. 124 Abs. 1 ZGB ). Wird einem Ehegatten nach Artikel 124 des Zivilgesetzbuches eine angemessene Entschädigung zugesprochen, so kann im Scheidungsurteil bestimmt werden, dass ein Teil der Austrittsleistung auf Anrechnung an die angemessene Entschädigung übertragen wird ( Art. 22b Abs. 1 FZG ). Diese Zahlungsform setzt lediglich voraus, dass noch eine (teilbare) Austrittsleistung vorhanden ist und dass - nach Ermessen des Scheidungsgerichts - die Zusprechung einer Rente oder eines Kapitals wegen eingeschränkter finanzieller Verhältnisse des pflichtigen Ehegatten nicht in Betracht fällt. Wird bei einer Teilinvalidität nicht das ganze Altersguthaben in eine Rente "umgewandelt", sondern ist ein Teil davon dem Altersguthaben eines voll erwerbstätigen Versicherten gleichgestellt und damit grundsätzlich als Austrittsleistung teilbar, kann die angemessene Entschädigung nach Art. 124 ZGB in Anwendung von Art. 22b FZG bezahlt werden BGE 134 V 384 S. 388 ( BGE 129 III 481 E. 3.5.1 und 3.5.2 S. 488 ff.). Dabei kann die Austrittsleistung auf ein Freizügigkeitskonto des berechtigten (früheren) Ehegatten überwiesen werden ( BGE 132 III 145 E. 4.4 S. 155).</w:t>
      </w:r>
    </w:p>
    <w:p>
      <w:r>
        <w:rPr>
          <w:b/>
        </w:rPr>
        <w:t>E. 2</w:t>
      </w:r>
    </w:p>
    <w:p>
      <w:r>
        <w:t>Die Ehe zwischen der Beschwerdeführerin und dem Beschwerdegegner wurde am 17. Juli 2006 geschieden. In diesem Zeitpunkt bezog der (frühere) Ehemann eine Invalidenrente der beruflichen Vorsorge aufgrund einer Erwerbsunfähigkeit von 20 %. Das Scheidungsurteil erwuchs unangefochten am 6. September 2006 in Rechtskraft. In Dispositiv-Ziffer 4 ordnete das Scheidungsgericht die hälftige Aufteilung der während der Ehedauer angesparten Austrittsleistungen der beruflichen Vorsorge sowie die Überweisung der Streitsache nach "Rechtskraft des Scheidungspunktes und des Teilungsverhältnisses" an das zuständige Berufsvorsorgegericht zur Festlegung des genauen Betrages an. In E. 4 führte es dazu aus, die Parteien beantragten übereinstimmend die Teilung der Austrittsleistung gemäss Art. 22 Abs. 2 FZG aufgrund von Art. 122 ZGB und ersuchten den Richter, die Vorsorgeeinrichtung des Beklagten anzuweisen, von seinem Vorsorgekonto den hälftigen Differenzbetrag der Vorsorgekonti beider Parteien auf das Vorsorgekonto der Klägerin zu überweisen.</w:t>
      </w:r>
    </w:p>
    <w:p>
      <w:r>
        <w:rPr>
          <w:b/>
        </w:rPr>
        <w:t>E. 3</w:t>
      </w:r>
    </w:p>
    <w:p>
      <w:r>
        <w:t>Die Vorinstanz als zuständiges Berufsvorsorgegericht hat die Klage mit der Begründung abgewiesen, die vom Scheidungsgericht angeordnete hälftige Teilung der Austrittsleistungen der beruflichen Vorsorge gestützt auf Art. 122 ZGB und Art. 22 FZG sei zufolge Eintritts des Vorsorgefalles "Teilinvalidität" beim Ehegatten vor der Ehescheidung nicht möglich. Der Vorsorgeausgleich sei gesamthaft nach Art. 124 ZGB durchzuführen, was in der alleinigen Kompetenz des Scheidungsgerichts liege. Das Berufsvorsorgegericht sei hierzu nicht befugt. Die Parteien (resp. eine der Parteien) hätten somit die Revision des Scheidungsurteils zu beantragen.</w:t>
      </w:r>
    </w:p>
    <w:p>
      <w:r>
        <w:rPr>
          <w:b/>
        </w:rPr>
        <w:t>E. 4.1</w:t>
      </w:r>
    </w:p>
    <w:p>
      <w:r>
        <w:t>Erachtete die Vorinstanz die Voraussetzungen zum Vollzug der vom Scheidungsgericht angeordneten hälftigen Teilung der Austrittsleistung der beruflichen Vorsorge nicht als gegeben, hätte sie einen Nichteintretensentscheid fällen und die Sache an dieses zur Festsetzung einer angemessenen Entschädigung nach Art. 124 ZGB überweisen müssen, wie in der Beschwerde zu Recht geltend gemacht wird (vgl. SVR 2007 BVG Nr. 42 S. 151, E. 4.2.2, B 107/06, und Nr. 32 S. 116, E. 6, B 104/05, sowie THOMAS GEISER, Übersicht über BGE 134 V 384 S. 389 die Rechtsprechung zum Vorsorgeausgleich, in: AJP 2008 S. 431 ff., 435). Allerdings ist fraglich, ob das scheidungsgerichtliche Urteil vom 17. Juli 2006 mit Bezug auf den Vorsorgeausgleich nach Art. 122 ff. und Art. 141 f. ZGB in Revision gezogen werden könnte. Die Tatsache des Bezugs einer Invalidenrente der beruflichen Vorsorge durch den (früheren) Ehemann seit 1. Oktober 2003 war auch dem Scheidungsgericht bekannt. Sodann ist zweifelhaft, ob die Regelung des Vorsorgeausgleichs nach Art. 124 ZGB zum Gegenstand eines Nachverfahrens gemacht werden könnte. Die Pensionskasse E. bescheinigte im Rahmen des Scheidungsprozesses zweimal die Durchführbarkeit der maximal hälftigen Teilung der während der Ehedauer vom Ehemann erworbenen Freizügigkeitsleistung (vgl. BGE 129 III 481 E. 3.6.3 S. 492). Unter diesen Umständen haben die Teilbarkeit der noch vorhandenen Austrittsleistung und die Durchführbarkeit der Teilung mit Rechtskraft des Scheidungsurteils auch gegenüber der Pensionskasse E. als verbindlich festgestellt zu gelten. Im vorinstanzlichen Verfahren hat die Vorsorgeeinrichtung das Freizügigkeitsguthaben des Beklagten auf Fr. 553'541.40 per 31. August 2006 beziffert und festgehalten, dass eine hälftige Teilung keine Auswirkungen auf die Rente habe.</w:t>
      </w:r>
    </w:p>
    <w:p>
      <w:r>
        <w:rPr>
          <w:b/>
        </w:rPr>
        <w:t>E. 4.2</w:t>
      </w:r>
    </w:p>
    <w:p>
      <w:r>
        <w:t>Das Scheidungsurteil vom 17. Juli 2006 ist unangefochten in Rechtskraft erwachsen. Es ist somit grundsätzlich auch für das Berufsvorsorgegericht verbindlich. Daran ändert nichts, dass das Scheidungsgericht den Vorsorgeausgleich zu Unrecht in Anwendung von Art. 122 ZGB und Art. 22 FZG und nicht gestützt auf Art. 124 ZGB geregelt hat. In diesem Zusammenhang trifft die Aussage in E. 4 des Urteils vom 17. Juli 2006 nicht zu, die Parteien beantragten übereinstimmend die Teilung der Austrittsleistung gemäss Art. 22 Abs. 2 FZG aufgrund von Art. 122 ZGB . In der Klage war der Anspruch auf die Hälfte des vom Ehemann während der Ehedauer angesparten Guthabens gemäss Art. 122 ZGB geltend gemacht worden. In der Klageantwort wurde dagegen ausgeführt, wegen der Teilinvalidität beim Ehemann finde grundsätzlich Art. 124 Abs. 1 ZGB Anwendung. Gemäss BGE 129 III 481 ff. könne aber die angemessene Entschädigung durch Übertragung eines Teils der Austrittsleistung erbracht werden. In der Folge einigten sich die Parteien auf eine hälftige Teilung der während der Ehedauer angesparten Austrittsleistungen der beruflichen Vorsorge und erklärten sich damit ausdrücklich einverstanden. Dabei stand fest, dass lediglich der Beklagte - bei der Pensionskasse E. - über ein solches Guthaben verfügte. Das BGE 134 V 384 S. 390 Scheidungsgericht holte durch den Beklagten die Bestätigung der Durchführbarkeit der maximal hälftigen Teilung der während der Ehedauer erworbenen Freizügigkeitsleistung ein und forderte die Klägerin auf, ein Freizügigkeitskonto und ein Konto der Säule 3a zu errichten und die entsprechenden Angaben mitzuteilen, was diese denn auch tat. Es ist unklar, weshalb das Scheidungsgericht den Vorsorgeausgleich nicht im Rahmen von Art. 124 ZGB regelte und die Pensionskasse E. verpflichtete, die Hälfte der Austrittsleistung auf Anrechnung an die vom beklagten Ehemann geschuldete angemessene Entschädigung auf das Freizügigkeitskonto der Klägerin zu überweisen, obschon alle (tatsächlichen und rechtlichen) Voraussetzungen hiefür erfüllt waren (E. 1.3). Dies ist aber ohne Belang, weil es am Ergebnis nichts ändert.</w:t>
      </w:r>
    </w:p>
    <w:p>
      <w:r>
        <w:rPr>
          <w:b/>
        </w:rPr>
        <w:t>E. 4.3</w:t>
      </w:r>
    </w:p>
    <w:p>
      <w:r>
        <w:t>Abgesehen von der Rechtskraft des Scheidungsurteils fällt weiter ins Gewicht, dass die Überweisung der Hälfte der Austrittsleistung des Beschwerdegegners bei der Pensionskasse E. auf das Freizügigkeitskonto der Beschwerdeführerin dem übereinstimmenden klaren Willen der Parteien entspricht. Sodann ist zu beachten, dass das Scheidungsgericht bei der Festsetzung der angemessenen Entschädigung nach Art. 124 ZGB zwar den Vermögensverhältnissen nach der güterrechtlichen Auseinandersetzung sowie der sonstigen wirtschaftlichen Lage der Parteien nach der Scheidung gebührend Rechnung zu tragen hat. Dabei hat es aber immer die gesetzgeberische Grundentscheidung gemäss Art. 122 ZGB zu beachten, wonach Vorsorgeguthaben unter den Ehegatten hälftig zu teilen sind ( BGE 133 III 401 E. 3.2 S. 404; BGE 129 III 481 E. 3.4.1 S. 488). Auf der anderen Seite hat das Scheidungsgericht bei einer Regelung des Vorsorgeausgleichs nach Art. 122 ZGB das Ergebnis der güterrechtlichen Auseinandersetzung und der wirtschaftlichen Verhältnisse nach der Scheidung zu berücksichtigen ( BGE 129 III 7 E. 3.1.2 S. 10). Je nachdem kann es gestützt auf Art. 123 Abs. 2 ZGB (oder allenfalls Art. 2 Abs. 2 ZGB ) die Teilung der Austrittsleistungen ganz oder teilweise verweigern ( BGE 133 III 497 E. 4 S. 498 ff.). Bei der Regelung des Vorsorgeausgleichs - ob nach Art. 122 ZGB oder im Rahmen von Art. 124 ZGB - sind somit die Vermögensverhältnisse nach der güterrechtlichen Auseinandersetzung sowie die sonstige wirtschaftliche Lage der Parteien nach der Scheidung zu berücksichtigen. Sind, wie hier, die Voraussetzungen für die Übertragung eines Teils der Austrittsleistung auf Anrechnung an die angemessene Entschädigung nach Art. 22b FZG erfüllt, spricht daher nichts gegen den Vollzug einer BGE 134 V 384 S. 391 vom Scheidungsgericht an sich unrichtig gestützt auf Art. 122 ZGB angeordneten hälftigen Teilung der Austrittsleistung durch das zuständige Vorsorgegericht. Dadurch wird die gesetzliche Kompetenzaufteilung zwischen diesen beiden gerichtlichen Instanzen in Bezug auf den Vorsorgeausgleich im Scheidungsfall nicht verletzt.</w:t>
      </w:r>
    </w:p>
    <w:p>
      <w:r>
        <w:rPr>
          <w:b/>
        </w:rPr>
        <w:t>E. 4.4</w:t>
      </w:r>
    </w:p>
    <w:p>
      <w:r>
        <w:t>Die Vorinstanz hat somit zu Unrecht die vom Scheidungsgericht angeordnete hälftige Teilung der Austrittsleistungen der beruflichen Vorsorge der Parteien resp. des Beschwerdegegners und Beklagten nicht vollzogen. Eine Rückweisung der Sache zur Festlegung des auf das Freizügigkeitskonto der Beschwerdeführerin und Klägerin zu überweisenden Betrages erübrigt sich. Er beläuft sich unbestrittenermassen auf Fr. 276'770.70 (E. 4.1). In diesem Zusammenhang ist die Pensionskasse E. mit dem Einwand, diese Summe erscheine unter Berücksichtigung der im Rahmen von Art. 124 ZGB zu berücksichtigenden gesamten wirtschaftlichen Verhältnisse übersetzt und zu wenig substantiiert, nicht zu hören. Der vom Scheidungsgericht festgelegte Teilungsschlüssel ist auch für die Vorsorgeeinrichtung verbindlich (E. 4.1), weshalb sie nicht legitimiert ist, die sich daraus ergebenden Fr. 276'770.70 anzufechten. Das Subeventualbegehren in der Beschwerde ist somit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